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0F32F31" w:rsidR="00F372C9" w:rsidRPr="00B552DB" w:rsidRDefault="005E0477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E0477">
              <w:rPr>
                <w:rFonts w:ascii="Calibri Light" w:hAnsi="Calibri Light" w:cs="Calibri Light"/>
                <w:b/>
              </w:rPr>
              <w:t>Informacijos rinkimo iš atvirųjų interneto šaltinių ir šios informacijos analizės programinės įrangos licencijų pirkimas (PPR-388)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0477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16A9E"/>
    <w:rsid w:val="00733BB8"/>
    <w:rsid w:val="007607FF"/>
    <w:rsid w:val="007651CB"/>
    <w:rsid w:val="0078742F"/>
    <w:rsid w:val="00791CCE"/>
    <w:rsid w:val="00795452"/>
    <w:rsid w:val="007B004A"/>
    <w:rsid w:val="007B1532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1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4</cp:revision>
  <cp:lastPrinted>2021-01-19T12:06:00Z</cp:lastPrinted>
  <dcterms:created xsi:type="dcterms:W3CDTF">2025-05-12T12:13:00Z</dcterms:created>
  <dcterms:modified xsi:type="dcterms:W3CDTF">2025-05-19T12:12:00Z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